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Look w:val="04A0" w:firstRow="1" w:lastRow="0" w:firstColumn="1" w:lastColumn="0" w:noHBand="0" w:noVBand="1"/>
      </w:tblPr>
      <w:tblGrid>
        <w:gridCol w:w="1628"/>
        <w:gridCol w:w="7434"/>
      </w:tblGrid>
      <w:tr w:rsidR="00BE5FE6" w14:paraId="14E7A6A4" w14:textId="77777777" w:rsidTr="0065258C">
        <w:tc>
          <w:tcPr>
            <w:tcW w:w="1413" w:type="dxa"/>
            <w:shd w:val="clear" w:color="auto" w:fill="53D2FF"/>
          </w:tcPr>
          <w:p w14:paraId="32944CEE" w14:textId="77777777" w:rsidR="00BE5FE6" w:rsidRPr="00FB7A9D" w:rsidRDefault="00BE5FE6" w:rsidP="0065258C">
            <w:pPr>
              <w:rPr>
                <w:b/>
                <w:bCs/>
              </w:rPr>
            </w:pPr>
            <w:r w:rsidRPr="00FB7A9D">
              <w:rPr>
                <w:b/>
                <w:bCs/>
              </w:rPr>
              <w:t>Functie</w:t>
            </w:r>
          </w:p>
        </w:tc>
        <w:tc>
          <w:tcPr>
            <w:tcW w:w="7649" w:type="dxa"/>
            <w:shd w:val="clear" w:color="auto" w:fill="53D2FF"/>
          </w:tcPr>
          <w:p w14:paraId="7E5819ED" w14:textId="77777777" w:rsidR="00BE5FE6" w:rsidRPr="00FB7A9D" w:rsidRDefault="00BE5FE6" w:rsidP="0065258C">
            <w:pPr>
              <w:rPr>
                <w:b/>
                <w:bCs/>
              </w:rPr>
            </w:pPr>
            <w:r w:rsidRPr="00FB7A9D">
              <w:rPr>
                <w:b/>
                <w:bCs/>
              </w:rPr>
              <w:t>Geboden ondersteuning</w:t>
            </w:r>
          </w:p>
        </w:tc>
      </w:tr>
      <w:tr w:rsidR="00BE5FE6" w14:paraId="696ACA01" w14:textId="77777777" w:rsidTr="0065258C">
        <w:tc>
          <w:tcPr>
            <w:tcW w:w="1413" w:type="dxa"/>
            <w:vAlign w:val="center"/>
          </w:tcPr>
          <w:p w14:paraId="15F099B4" w14:textId="77777777" w:rsidR="00BE5FE6" w:rsidRPr="003C4133" w:rsidRDefault="00BE5FE6" w:rsidP="0065258C">
            <w:pPr>
              <w:rPr>
                <w:sz w:val="20"/>
                <w:szCs w:val="20"/>
              </w:rPr>
            </w:pPr>
            <w:r w:rsidRPr="003C4133">
              <w:rPr>
                <w:sz w:val="20"/>
                <w:szCs w:val="20"/>
              </w:rPr>
              <w:t>Taakdocent Zorg (tdz)</w:t>
            </w:r>
          </w:p>
        </w:tc>
        <w:tc>
          <w:tcPr>
            <w:tcW w:w="7649" w:type="dxa"/>
          </w:tcPr>
          <w:p w14:paraId="4A4543BD" w14:textId="77777777" w:rsidR="00BE5FE6" w:rsidRDefault="00BE5FE6" w:rsidP="0065258C">
            <w:pPr>
              <w:rPr>
                <w:sz w:val="20"/>
                <w:szCs w:val="20"/>
              </w:rPr>
            </w:pPr>
          </w:p>
          <w:p w14:paraId="5E449016" w14:textId="77777777" w:rsidR="00BE5FE6" w:rsidRDefault="00BE5FE6" w:rsidP="0065258C">
            <w:pPr>
              <w:rPr>
                <w:sz w:val="20"/>
                <w:szCs w:val="20"/>
              </w:rPr>
            </w:pPr>
            <w:r w:rsidRPr="003C4133">
              <w:rPr>
                <w:sz w:val="20"/>
                <w:szCs w:val="20"/>
              </w:rPr>
              <w:t>De taakdocent zorg is je eerste gesprekspartner bij zorgen over studenten. De tdz denkt met je mee, kan ondersteunen bij de aanvraag van extra ondersteuning en is op de hoogte van alle ondersteuningsmogelijkheden.</w:t>
            </w:r>
          </w:p>
          <w:p w14:paraId="07588173" w14:textId="77777777" w:rsidR="00BE5FE6" w:rsidRPr="003C4133" w:rsidRDefault="00BE5FE6" w:rsidP="0065258C">
            <w:pPr>
              <w:rPr>
                <w:sz w:val="20"/>
                <w:szCs w:val="20"/>
              </w:rPr>
            </w:pPr>
          </w:p>
        </w:tc>
      </w:tr>
      <w:tr w:rsidR="00BE5FE6" w14:paraId="3C6CF1FD" w14:textId="77777777" w:rsidTr="0065258C">
        <w:tc>
          <w:tcPr>
            <w:tcW w:w="1413" w:type="dxa"/>
            <w:shd w:val="clear" w:color="auto" w:fill="A7E8FF"/>
            <w:vAlign w:val="center"/>
          </w:tcPr>
          <w:p w14:paraId="40D46F2A" w14:textId="77777777" w:rsidR="00BE5FE6" w:rsidRPr="003C4133" w:rsidRDefault="00BE5FE6" w:rsidP="0065258C">
            <w:pPr>
              <w:rPr>
                <w:sz w:val="20"/>
                <w:szCs w:val="20"/>
              </w:rPr>
            </w:pPr>
            <w:r>
              <w:rPr>
                <w:sz w:val="20"/>
                <w:szCs w:val="20"/>
              </w:rPr>
              <w:t>Team Studentenwelzijn (</w:t>
            </w:r>
            <w:proofErr w:type="spellStart"/>
            <w:r>
              <w:rPr>
                <w:sz w:val="20"/>
                <w:szCs w:val="20"/>
              </w:rPr>
              <w:t>tsw</w:t>
            </w:r>
            <w:proofErr w:type="spellEnd"/>
            <w:r>
              <w:rPr>
                <w:sz w:val="20"/>
                <w:szCs w:val="20"/>
              </w:rPr>
              <w:t>)</w:t>
            </w:r>
          </w:p>
        </w:tc>
        <w:tc>
          <w:tcPr>
            <w:tcW w:w="7649" w:type="dxa"/>
            <w:shd w:val="clear" w:color="auto" w:fill="A7E8FF"/>
          </w:tcPr>
          <w:p w14:paraId="30B98031" w14:textId="77777777" w:rsidR="00BE5FE6" w:rsidRDefault="00BE5FE6" w:rsidP="0065258C">
            <w:pPr>
              <w:rPr>
                <w:sz w:val="20"/>
                <w:szCs w:val="20"/>
              </w:rPr>
            </w:pPr>
          </w:p>
          <w:p w14:paraId="57779AC9" w14:textId="77777777" w:rsidR="00BE5FE6" w:rsidRDefault="00BE5FE6" w:rsidP="0065258C">
            <w:pPr>
              <w:rPr>
                <w:sz w:val="20"/>
                <w:szCs w:val="20"/>
              </w:rPr>
            </w:pPr>
            <w:r w:rsidRPr="003C4133">
              <w:rPr>
                <w:sz w:val="20"/>
                <w:szCs w:val="20"/>
              </w:rPr>
              <w:t xml:space="preserve">SDV schakel je in wanneer een student kortdurend begeleiding nodig heeft. Bijvoorbeeld om een probleem in kaart te brengen, of als een student studiekeuzecoaching nodig heeft, omdat hij/zij de verkeerde opleiding heeft gekozen. </w:t>
            </w:r>
          </w:p>
          <w:p w14:paraId="2279F9B2" w14:textId="77777777" w:rsidR="00BE5FE6" w:rsidRPr="003C4133" w:rsidRDefault="00BE5FE6" w:rsidP="0065258C">
            <w:pPr>
              <w:rPr>
                <w:sz w:val="20"/>
                <w:szCs w:val="20"/>
              </w:rPr>
            </w:pPr>
          </w:p>
        </w:tc>
      </w:tr>
      <w:tr w:rsidR="00BE5FE6" w14:paraId="1EE65651" w14:textId="77777777" w:rsidTr="0065258C">
        <w:tc>
          <w:tcPr>
            <w:tcW w:w="1413" w:type="dxa"/>
            <w:vAlign w:val="center"/>
          </w:tcPr>
          <w:p w14:paraId="3A8C45F6" w14:textId="77777777" w:rsidR="00BE5FE6" w:rsidRPr="003C4133" w:rsidRDefault="00BE5FE6" w:rsidP="0065258C">
            <w:pPr>
              <w:rPr>
                <w:sz w:val="20"/>
                <w:szCs w:val="20"/>
              </w:rPr>
            </w:pPr>
            <w:r w:rsidRPr="003C4133">
              <w:rPr>
                <w:sz w:val="20"/>
                <w:szCs w:val="20"/>
              </w:rPr>
              <w:t xml:space="preserve">Pluscoach (valt onder </w:t>
            </w:r>
            <w:proofErr w:type="spellStart"/>
            <w:r>
              <w:rPr>
                <w:sz w:val="20"/>
                <w:szCs w:val="20"/>
              </w:rPr>
              <w:t>tsw</w:t>
            </w:r>
            <w:proofErr w:type="spellEnd"/>
            <w:r w:rsidRPr="003C4133">
              <w:rPr>
                <w:sz w:val="20"/>
                <w:szCs w:val="20"/>
              </w:rPr>
              <w:t>)</w:t>
            </w:r>
          </w:p>
        </w:tc>
        <w:tc>
          <w:tcPr>
            <w:tcW w:w="7649" w:type="dxa"/>
          </w:tcPr>
          <w:p w14:paraId="3264BA0C" w14:textId="77777777" w:rsidR="00BE5FE6" w:rsidRDefault="00BE5FE6" w:rsidP="0065258C">
            <w:pPr>
              <w:rPr>
                <w:sz w:val="20"/>
                <w:szCs w:val="20"/>
              </w:rPr>
            </w:pPr>
          </w:p>
          <w:p w14:paraId="5D42235E" w14:textId="77777777" w:rsidR="00BE5FE6" w:rsidRDefault="00BE5FE6" w:rsidP="0065258C">
            <w:pPr>
              <w:rPr>
                <w:sz w:val="20"/>
                <w:szCs w:val="20"/>
              </w:rPr>
            </w:pPr>
            <w:r w:rsidRPr="003C4133">
              <w:rPr>
                <w:sz w:val="20"/>
                <w:szCs w:val="20"/>
              </w:rPr>
              <w:t>De pluscoach is langdurig begeleiding voor studenten die multiproblematiek hebben. Te denken valt aan het hebben van ADHD en motivatieproblemen. Of studenten die dusdanig onvoldoende kunnen plannen dat hun opleiding er onder leidt.</w:t>
            </w:r>
          </w:p>
          <w:p w14:paraId="4D53B227" w14:textId="77777777" w:rsidR="00BE5FE6" w:rsidRPr="003C4133" w:rsidRDefault="00BE5FE6" w:rsidP="0065258C">
            <w:pPr>
              <w:rPr>
                <w:sz w:val="20"/>
                <w:szCs w:val="20"/>
              </w:rPr>
            </w:pPr>
          </w:p>
        </w:tc>
      </w:tr>
      <w:tr w:rsidR="00BE5FE6" w14:paraId="3130BDF8" w14:textId="77777777" w:rsidTr="0065258C">
        <w:tc>
          <w:tcPr>
            <w:tcW w:w="1413" w:type="dxa"/>
            <w:shd w:val="clear" w:color="auto" w:fill="A7E8FF"/>
            <w:vAlign w:val="center"/>
          </w:tcPr>
          <w:p w14:paraId="058A143B" w14:textId="77777777" w:rsidR="00BE5FE6" w:rsidRPr="003C4133" w:rsidRDefault="00BE5FE6" w:rsidP="0065258C">
            <w:pPr>
              <w:rPr>
                <w:sz w:val="20"/>
                <w:szCs w:val="20"/>
              </w:rPr>
            </w:pPr>
            <w:r w:rsidRPr="003C4133">
              <w:rPr>
                <w:sz w:val="20"/>
                <w:szCs w:val="20"/>
              </w:rPr>
              <w:t>Buurtteam</w:t>
            </w:r>
          </w:p>
        </w:tc>
        <w:tc>
          <w:tcPr>
            <w:tcW w:w="7649" w:type="dxa"/>
            <w:shd w:val="clear" w:color="auto" w:fill="A7E8FF"/>
          </w:tcPr>
          <w:p w14:paraId="1D36D4C2" w14:textId="77777777" w:rsidR="00BE5FE6" w:rsidRDefault="00BE5FE6" w:rsidP="0065258C">
            <w:pPr>
              <w:rPr>
                <w:sz w:val="20"/>
                <w:szCs w:val="20"/>
              </w:rPr>
            </w:pPr>
          </w:p>
          <w:p w14:paraId="5B8CC83A" w14:textId="77777777" w:rsidR="00BE5FE6" w:rsidRDefault="00BE5FE6" w:rsidP="0065258C">
            <w:pPr>
              <w:rPr>
                <w:sz w:val="20"/>
                <w:szCs w:val="20"/>
              </w:rPr>
            </w:pPr>
            <w:r>
              <w:rPr>
                <w:sz w:val="20"/>
                <w:szCs w:val="20"/>
              </w:rPr>
              <w:t xml:space="preserve">Het buurtteam kan je vergelijken met maatschappelijke zorg. Hier werken mensen die studenten kunnen ondersteunen omdat zij kampen met psychische klachten, financiële problemen, of problemen thuis. </w:t>
            </w:r>
          </w:p>
          <w:p w14:paraId="42EA4A49" w14:textId="77777777" w:rsidR="00BE5FE6" w:rsidRPr="003C4133" w:rsidRDefault="00BE5FE6" w:rsidP="0065258C">
            <w:pPr>
              <w:rPr>
                <w:sz w:val="20"/>
                <w:szCs w:val="20"/>
              </w:rPr>
            </w:pPr>
          </w:p>
        </w:tc>
      </w:tr>
      <w:tr w:rsidR="00BE5FE6" w14:paraId="1E668131" w14:textId="77777777" w:rsidTr="0065258C">
        <w:tc>
          <w:tcPr>
            <w:tcW w:w="1413" w:type="dxa"/>
            <w:vAlign w:val="center"/>
          </w:tcPr>
          <w:p w14:paraId="35F498B4" w14:textId="77777777" w:rsidR="00BE5FE6" w:rsidRPr="003C4133" w:rsidRDefault="00BE5FE6" w:rsidP="0065258C">
            <w:pPr>
              <w:rPr>
                <w:sz w:val="20"/>
                <w:szCs w:val="20"/>
              </w:rPr>
            </w:pPr>
            <w:r w:rsidRPr="003C4133">
              <w:rPr>
                <w:sz w:val="20"/>
                <w:szCs w:val="20"/>
              </w:rPr>
              <w:t>Orthopedagoog</w:t>
            </w:r>
          </w:p>
        </w:tc>
        <w:tc>
          <w:tcPr>
            <w:tcW w:w="7649" w:type="dxa"/>
          </w:tcPr>
          <w:p w14:paraId="0393016B" w14:textId="77777777" w:rsidR="00BE5FE6" w:rsidRDefault="00BE5FE6" w:rsidP="0065258C">
            <w:pPr>
              <w:rPr>
                <w:sz w:val="20"/>
                <w:szCs w:val="20"/>
              </w:rPr>
            </w:pPr>
          </w:p>
          <w:p w14:paraId="39AA190C" w14:textId="77777777" w:rsidR="00BE5FE6" w:rsidRDefault="00BE5FE6" w:rsidP="0065258C">
            <w:pPr>
              <w:rPr>
                <w:sz w:val="20"/>
                <w:szCs w:val="20"/>
              </w:rPr>
            </w:pPr>
            <w:r>
              <w:rPr>
                <w:sz w:val="20"/>
                <w:szCs w:val="20"/>
              </w:rPr>
              <w:t>De orthopedagoog kan ingeschakeld worden om te onderzoeken of een student een leerstoornis heeft (bijvoorbeeld ADHD, Dyslexie)</w:t>
            </w:r>
          </w:p>
          <w:p w14:paraId="4D8FBD85" w14:textId="77777777" w:rsidR="00BE5FE6" w:rsidRPr="003C4133" w:rsidRDefault="00BE5FE6" w:rsidP="0065258C">
            <w:pPr>
              <w:rPr>
                <w:sz w:val="20"/>
                <w:szCs w:val="20"/>
              </w:rPr>
            </w:pPr>
          </w:p>
        </w:tc>
      </w:tr>
      <w:tr w:rsidR="00BE5FE6" w14:paraId="53F80503" w14:textId="77777777" w:rsidTr="0065258C">
        <w:tc>
          <w:tcPr>
            <w:tcW w:w="1413" w:type="dxa"/>
            <w:shd w:val="clear" w:color="auto" w:fill="A7E8FF"/>
            <w:vAlign w:val="center"/>
          </w:tcPr>
          <w:p w14:paraId="5D770187" w14:textId="77777777" w:rsidR="00BE5FE6" w:rsidRPr="003C4133" w:rsidRDefault="00BE5FE6" w:rsidP="0065258C">
            <w:pPr>
              <w:rPr>
                <w:sz w:val="20"/>
                <w:szCs w:val="20"/>
              </w:rPr>
            </w:pPr>
            <w:r w:rsidRPr="003C4133">
              <w:rPr>
                <w:sz w:val="20"/>
                <w:szCs w:val="20"/>
              </w:rPr>
              <w:t>Veilig Thuis</w:t>
            </w:r>
          </w:p>
        </w:tc>
        <w:tc>
          <w:tcPr>
            <w:tcW w:w="7649" w:type="dxa"/>
            <w:shd w:val="clear" w:color="auto" w:fill="A7E8FF"/>
          </w:tcPr>
          <w:p w14:paraId="398271E2" w14:textId="77777777" w:rsidR="00BE5FE6" w:rsidRDefault="00BE5FE6" w:rsidP="0065258C">
            <w:pPr>
              <w:rPr>
                <w:sz w:val="20"/>
                <w:szCs w:val="20"/>
              </w:rPr>
            </w:pPr>
          </w:p>
          <w:p w14:paraId="5C57BCC6" w14:textId="77777777" w:rsidR="00BE5FE6" w:rsidRDefault="00BE5FE6" w:rsidP="0065258C">
            <w:pPr>
              <w:rPr>
                <w:sz w:val="20"/>
                <w:szCs w:val="20"/>
              </w:rPr>
            </w:pPr>
            <w:r>
              <w:rPr>
                <w:sz w:val="20"/>
                <w:szCs w:val="20"/>
              </w:rPr>
              <w:t>Wanneer je je zorgen maakt over de veiligheid van een student, bijvoorbeeld omdat de student zich thuis onveilig voelt, bel dan Veilig Thuis om anoniem advies te vragen. Bespreek in dit geval ook altijd je zorgen met de tdz en de coördinerend docent.</w:t>
            </w:r>
            <w:r>
              <w:rPr>
                <w:sz w:val="20"/>
                <w:szCs w:val="20"/>
              </w:rPr>
              <w:br/>
            </w:r>
            <w:r>
              <w:rPr>
                <w:sz w:val="20"/>
                <w:szCs w:val="20"/>
              </w:rPr>
              <w:br/>
              <w:t xml:space="preserve">Belangrijk: Het gaat niet alleen om het daadwerkelijk onveilig zijn. Gevoelens van onveiligheid zijn al aanleiding voor contact met Veilig Thuis. </w:t>
            </w:r>
          </w:p>
          <w:p w14:paraId="2CF1D152" w14:textId="77777777" w:rsidR="00BE5FE6" w:rsidRPr="003C4133" w:rsidRDefault="00BE5FE6" w:rsidP="0065258C">
            <w:pPr>
              <w:rPr>
                <w:sz w:val="20"/>
                <w:szCs w:val="20"/>
              </w:rPr>
            </w:pPr>
          </w:p>
        </w:tc>
      </w:tr>
      <w:tr w:rsidR="00BE5FE6" w14:paraId="7B49E756" w14:textId="77777777" w:rsidTr="0065258C">
        <w:tc>
          <w:tcPr>
            <w:tcW w:w="1413" w:type="dxa"/>
            <w:shd w:val="clear" w:color="auto" w:fill="FFFFFF" w:themeFill="background1"/>
            <w:vAlign w:val="center"/>
          </w:tcPr>
          <w:p w14:paraId="6CE53634" w14:textId="77777777" w:rsidR="00BE5FE6" w:rsidRPr="003C4133" w:rsidRDefault="00BE5FE6" w:rsidP="0065258C">
            <w:pPr>
              <w:rPr>
                <w:sz w:val="20"/>
                <w:szCs w:val="20"/>
              </w:rPr>
            </w:pPr>
            <w:r>
              <w:rPr>
                <w:sz w:val="20"/>
                <w:szCs w:val="20"/>
              </w:rPr>
              <w:t>Huisarts</w:t>
            </w:r>
          </w:p>
        </w:tc>
        <w:tc>
          <w:tcPr>
            <w:tcW w:w="7649" w:type="dxa"/>
            <w:shd w:val="clear" w:color="auto" w:fill="FFFFFF" w:themeFill="background1"/>
          </w:tcPr>
          <w:p w14:paraId="305D5B3C" w14:textId="77777777" w:rsidR="00BE5FE6" w:rsidRDefault="00BE5FE6" w:rsidP="0065258C">
            <w:pPr>
              <w:rPr>
                <w:sz w:val="20"/>
                <w:szCs w:val="20"/>
              </w:rPr>
            </w:pPr>
          </w:p>
          <w:p w14:paraId="0881C778" w14:textId="77777777" w:rsidR="00BE5FE6" w:rsidRDefault="00BE5FE6" w:rsidP="0065258C">
            <w:pPr>
              <w:rPr>
                <w:sz w:val="20"/>
                <w:szCs w:val="20"/>
              </w:rPr>
            </w:pPr>
            <w:r>
              <w:rPr>
                <w:sz w:val="20"/>
                <w:szCs w:val="20"/>
              </w:rPr>
              <w:t>Naast bovenstaande kan je studenten ook altijd wijzen op het bestaan van hun huisarts. Het komt regelmatig voor dat studenten onvoldoende weten welke ondersteuning een huisarts allemaal kan bieden. Ook studenten met psychische klachten kunnen terecht bij hun huisarts.</w:t>
            </w:r>
          </w:p>
          <w:p w14:paraId="75CE02AF" w14:textId="77777777" w:rsidR="00BE5FE6" w:rsidRDefault="00BE5FE6" w:rsidP="0065258C">
            <w:pPr>
              <w:rPr>
                <w:sz w:val="20"/>
                <w:szCs w:val="20"/>
              </w:rPr>
            </w:pPr>
          </w:p>
        </w:tc>
      </w:tr>
    </w:tbl>
    <w:p w14:paraId="487BEF31" w14:textId="77777777" w:rsidR="00A0515C" w:rsidRDefault="00A0515C"/>
    <w:sectPr w:rsidR="00A051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FE6"/>
    <w:rsid w:val="000729BA"/>
    <w:rsid w:val="0053733D"/>
    <w:rsid w:val="00A0515C"/>
    <w:rsid w:val="00BE5F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06B5B"/>
  <w15:chartTrackingRefBased/>
  <w15:docId w15:val="{F20CDC9A-82FD-488D-AB05-4DE5A59DC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E5FE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BE5FE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1561</Characters>
  <Application>Microsoft Office Word</Application>
  <DocSecurity>0</DocSecurity>
  <Lines>13</Lines>
  <Paragraphs>3</Paragraphs>
  <ScaleCrop>false</ScaleCrop>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Heldenbergh</dc:creator>
  <cp:keywords/>
  <dc:description/>
  <cp:lastModifiedBy>Dylan Heldenbergh</cp:lastModifiedBy>
  <cp:revision>1</cp:revision>
  <dcterms:created xsi:type="dcterms:W3CDTF">2023-03-22T19:08:00Z</dcterms:created>
  <dcterms:modified xsi:type="dcterms:W3CDTF">2023-03-22T19:08:00Z</dcterms:modified>
</cp:coreProperties>
</file>